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1767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>华安复工保产品介绍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产品名称：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华安复工保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产品特色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1、覆盖全人群患传染病导致的损失，包括雇员、客户、来访者等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2、有多款保障方案可选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三、保障方案</w:t>
      </w:r>
    </w:p>
    <w:p>
      <w:pPr>
        <w:numPr>
          <w:ilvl w:val="0"/>
          <w:numId w:val="0"/>
        </w:num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保障方案—基础版</w:t>
      </w:r>
    </w:p>
    <w:tbl>
      <w:tblPr>
        <w:tblStyle w:val="4"/>
        <w:tblpPr w:leftFromText="180" w:rightFromText="180" w:vertAnchor="text" w:horzAnchor="page" w:tblpX="1785" w:tblpY="6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3"/>
        <w:gridCol w:w="1703"/>
        <w:gridCol w:w="170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000" w:type="pct"/>
            <w:gridSpan w:val="5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保险责任：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1、火灾、爆炸造成的建筑物、装修及室内财产损失，保险人负责赔偿。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2、被保险营业场所内因有任何人被确诊罹患法定传染病（包括新型冠状病毒肺炎），被政府主管部门强制要求封闭或隔离，导致停工停产期间的营业中断损失、被隔离雇员工资、租金支出，保险人负责赔偿。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保障项目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方案一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方案二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资产保障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建筑物、装修及室内财产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10万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20万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8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附加传染病保障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累计赔偿限额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5万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10万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8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营业中断损失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6000元/月，期限6个月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10000元/月，期限6个月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12000元/月，期限6个月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8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被隔离雇员工资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累计5000元，100元/人/天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累计10000元，100元/人/天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累计15000元，100元/人/天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8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租金支出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6000元/月，期限6个月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10000元/月，期限6个月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12000元/月，期限6个月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9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保险费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1500元</w:t>
            </w:r>
          </w:p>
        </w:tc>
        <w:tc>
          <w:tcPr>
            <w:tcW w:w="9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2800元</w:t>
            </w:r>
          </w:p>
        </w:tc>
        <w:tc>
          <w:tcPr>
            <w:tcW w:w="100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000" w:type="pct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意事项：1、每一投保人每一地址限投一份；2、保险期限可以一年，但赔偿期限不超过6个月；3、赔偿标准为实际损失与赔偿限额的低者为准；4、建筑物结构必须为钢混或砖混；5、主险保额分配原则为建筑物50%、装修35%；室内财产15%；6、主险免赔2000或10%，附加险免赔3天、等待期7天。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保障方案—自选版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59"/>
        <w:gridCol w:w="170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保险责任：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承保常规财产保险的企业可附加传染病保险保障，且传染病保险保障项目可自由组合。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附加传染病保险责任：被保险营业场所内因有任何人被确诊罹患法定传染病（包括新型冠状病毒肺炎），被政府主管部门强制要求封闭或隔离，导致停工停产期间的营业中断损失、被隔离雇员工资、租金支出、隔离费用，保险人负责赔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附加传染病保障项目</w:t>
            </w:r>
          </w:p>
        </w:tc>
        <w:tc>
          <w:tcPr>
            <w:tcW w:w="25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赔偿限额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保险费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免赔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营业中断损失</w:t>
            </w:r>
          </w:p>
        </w:tc>
        <w:tc>
          <w:tcPr>
            <w:tcW w:w="255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1万/月，累计6万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被隔离雇员工资</w:t>
            </w:r>
          </w:p>
        </w:tc>
        <w:tc>
          <w:tcPr>
            <w:tcW w:w="255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100元/人/天，累计2万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800元</w:t>
            </w: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租金支出</w:t>
            </w:r>
          </w:p>
        </w:tc>
        <w:tc>
          <w:tcPr>
            <w:tcW w:w="255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1万/月，累计6万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隔离费用（可选）</w:t>
            </w:r>
          </w:p>
        </w:tc>
        <w:tc>
          <w:tcPr>
            <w:tcW w:w="255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50元/人/天，累计1万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400元</w:t>
            </w: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注意事项：1、每一投保人每一地址限投一份；2、保险期限可以一年，但赔偿期限不超过6个月；3、赔偿标准为实际损失与赔偿限额的低者为准；4、主险按现有政策执行；5、附加险等待期7天。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6261D8"/>
    <w:multiLevelType w:val="singleLevel"/>
    <w:tmpl w:val="E06261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7A05"/>
    <w:rsid w:val="07D441B5"/>
    <w:rsid w:val="13D95157"/>
    <w:rsid w:val="16E30ED5"/>
    <w:rsid w:val="1CC511B8"/>
    <w:rsid w:val="316620D6"/>
    <w:rsid w:val="33FF6D55"/>
    <w:rsid w:val="479C6EAA"/>
    <w:rsid w:val="5C150AA1"/>
    <w:rsid w:val="5F074AD8"/>
    <w:rsid w:val="5F7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♪☆〜莎*･莎*･゜ﾟ</cp:lastModifiedBy>
  <dcterms:modified xsi:type="dcterms:W3CDTF">2020-03-13T06:52:10Z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