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2020年攀枝花市地方政府债务管理情况的说明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，我市严格按照政府债务管理各项文件要求，严格执行债务限额管理、预算管理等规定，规范管理我市地方性政府债务，安全有效使用债券资金，使其充分发挥地方政府债券资金稳投资、扩内需、补短板的作用；同时组织各县（区）努力筹措偿债资金，推动存量债务化解，最大限度降低和化解债务风险，牢牢守住不发生区域性、系统性风险的底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初全市地方政府债务余额203.19亿元。2020年发行新增债券22.71亿元、再融资债券27.85亿元，偿还到期政府债务32.85亿元，2020年末全市政府债务余额220.9亿元（市本级110.71亿元，东区18.94亿元，西区16.24亿元，仁和区36.14亿元，米易县21.03亿元，盐边县17.84亿元），比2019年底增加17.71亿元，严格控制在财政厅核定我市政府债务限额237.29亿元以内，债务风险总体可控。分类型看：全市一般债务限额152.17亿元，余额143.3亿元；专项债务限额85.13亿元，余额77.59亿元。分级次看：市本级债务余额110.71亿元；区县级债务余额110.19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ZjExODZjZTdlNzI5NzkwMDdlYWFhNGUyYjdkODAifQ=="/>
  </w:docVars>
  <w:rsids>
    <w:rsidRoot w:val="001C1B81"/>
    <w:rsid w:val="00067EC2"/>
    <w:rsid w:val="001B3A9C"/>
    <w:rsid w:val="001C1B81"/>
    <w:rsid w:val="00373226"/>
    <w:rsid w:val="003E17AE"/>
    <w:rsid w:val="00535163"/>
    <w:rsid w:val="007D2811"/>
    <w:rsid w:val="00860FC8"/>
    <w:rsid w:val="008A542F"/>
    <w:rsid w:val="009334BF"/>
    <w:rsid w:val="00952C61"/>
    <w:rsid w:val="564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371</Words>
  <Characters>468</Characters>
  <Lines>3</Lines>
  <Paragraphs>1</Paragraphs>
  <TotalTime>24</TotalTime>
  <ScaleCrop>false</ScaleCrop>
  <LinksUpToDate>false</LinksUpToDate>
  <CharactersWithSpaces>468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2022-06-27T12:25:00Z</dcterms:created>
  <dc:creator>蔡雨霖</dc:creator>
  <cp:lastModifiedBy>Administrator</cp:lastModifiedBy>
  <dcterms:modified xsi:type="dcterms:W3CDTF">2022-07-11T08:52:33Z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35E660CF4C0D43AD98DC58B38BF2787A</vt:lpwstr>
  </property>
</Properties>
</file>