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tbl>
      <w:tblPr>
        <w:tblpPr w:leftFromText="180" w:rightFromText="180" w:vertAnchor="text" w:horzAnchor="margin" w:tblpXSpec="left" w:tblpY="287"/>
        <w:tblW w:w="8843" w:type="dxa"/>
        <w:tblBorders>
          <w:top w:val="none" w:sz="0" w:space="0" w:color="auto"/>
          <w:left w:val="none" w:sz="0" w:space="0" w:color="auto"/>
          <w:bottom w:val="single" w:sz="24" w:space="0" w:color="FF0000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3"/>
      </w:tblGrid>
      <w:tr>
        <w:trPr>
          <w:cantSplit/>
          <w:trHeight w:val="2273"/>
        </w:trPr>
        <w:tc>
          <w:tcPr>
            <w:tcW w:w="8843" w:type="dxa"/>
            <w:tcMar>
              <w:bottom w:w="227" w:type="dxa"/>
            </w:tcMar>
            <w:vAlign w:val="bottom"/>
          </w:tcPr>
          <w:p>
            <w:pPr>
              <w:widowControl w:val="0"/>
              <w:adjustRightInd w:val="0"/>
              <w:snapToGrid w:val="0"/>
              <w:spacing w:line="560" w:lineRule="exact"/>
              <w:rPr>
                <w:rFonts w:ascii="宋体" w:eastAsia="宋体"/>
                <w:color w:val="000000"/>
                <w:spacing w:val="-20"/>
                <w:sz w:val="32"/>
                <w:szCs w:val="32"/>
              </w:rPr>
            </w:pPr>
            <w:r>
              <w:rPr>
                <w:rFonts w:ascii="宋体" w:eastAsia="宋体"/>
                <w:color w:val="000000"/>
                <w:spacing w:val="-20"/>
                <w:sz w:val="32"/>
                <w:szCs w:val="32"/>
              </w:rPr>
              <mc:AlternateContent>
                <mc:Choice Requires="wps">
                  <w:drawing>
                    <wp:anchor distT="0" distB="0" distL="114298" distR="114298" simplePos="0" relativeHeight="12" behindDoc="0" locked="1" layoutInCell="0" hidden="0" allowOverlap="1">
                      <wp:simplePos x="0" y="0"/>
                      <wp:positionH relativeFrom="page">
                        <wp:posOffset>1284</wp:posOffset>
                      </wp:positionH>
                      <wp:positionV relativeFrom="page">
                        <wp:posOffset>923926</wp:posOffset>
                      </wp:positionV>
                      <wp:extent cx="5636895" cy="1724025"/>
                      <wp:effectExtent l="0" t="0" r="0" b="0"/>
                      <wp:wrapTopAndBottom/>
                      <wp:docPr id="1" name="WordArt 2"/>
                      <wp:cNvGraphicFramePr>
                        <a:graphicFrameLocks noChangeAspect="1"/>
                      </wp:cNvGraphicFramePr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5636895" cy="1724025"/>
                              </a:xfrm>
                              <a:prstGeom prst="rect"/>
                              <a:noFill/>
                              <a:ln w="9525" cmpd="sng" cap="flat">
                                <a:noFill/>
                                <a:prstDash val="solid"/>
                                <a:miter/>
                              </a:ln>
                            </wps:spPr>
                            <wps:txbx id="2">
                              <w:txbxContent>
                                <w:p>
                                  <w:pPr>
                                    <w:pStyle w:val="19"/>
                                    <w:spacing w:before="0" w:beforeAutospacing="0" w:after="0" w:afterAutospacing="0"/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8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48"/>
                                      <w:szCs w:val="80"/>
                                    </w:rPr>
                                    <w:t>中国太平洋财产保险股份有限公司</w:t>
                                  </w:r>
                                </w:p>
                                <w:p>
                                  <w:pPr>
                                    <w:pStyle w:val="19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48"/>
                                      <w:szCs w:val="80"/>
                                    </w:rPr>
                                    <w:t>关于助力地方政府支持企业复产复工的支持方案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type="#_x0000_t202" id="WordArt 2 3" o:spid="_x0000_s3" filled="f" stroked="f" o:allowincell="f" style="position:absolute;margin-left:0.10111845pt;margin-top:72.75015pt;width:443.85pt;height:135.75002pt;z-index:12;mso-position-horizontal:absolute;mso-position-horizontal-relative:page;mso-position-vertical:absolute;mso-position-vertical-relative:page;mso-wrap-distance-left:8.999863pt;mso-wrap-distance-right:8.999863pt;mso-wrap-style:square;">
                      <v:stroke color="#000000"/>
                      <o:lock aspectratio="t"/>
                      <v:textbox id="848" inset="2.54mm,1.27mm,2.54mm,1.27mm" o:insetmode="custom" style="layout-flow:horizontal;v-text-anchor:top;">
                        <w:txbxContent>
                          <w:p>
                            <w:pPr>
                              <w:pStyle w:val="19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48"/>
                                <w:szCs w:val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80"/>
                              </w:rPr>
                              <w:t>中国太平洋财产保险股份有限公司</w:t>
                            </w:r>
                          </w:p>
                          <w:p>
                            <w:pPr>
                              <w:pStyle w:val="19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48"/>
                                <w:szCs w:val="80"/>
                              </w:rPr>
                              <w:t>关于助力地方政府支持企业复产复工的支持方案</w:t>
                            </w:r>
                          </w:p>
                        </w:txbxContent>
                      </v:textbox>
                      <w10:wrap type="topAndBottom"/>
                      <w10:anchorLock/>
                    </v:shape>
                  </w:pict>
                </mc:Fallback>
              </mc:AlternateContent>
            </w:r>
            <w:bookmarkStart w:id="0" w:name="CM_Number"/>
            <w:bookmarkEnd w:id="0"/>
          </w:p>
        </w:tc>
      </w:tr>
    </w:tbl>
    <w:p>
      <w:pPr>
        <w:widowControl w:val="0"/>
        <w:adjustRightInd w:val="0"/>
        <w:snapToGrid w:val="0"/>
        <w:spacing w:line="560" w:lineRule="exact"/>
        <w:jc w:val="center"/>
        <w:rPr>
          <w:rFonts w:ascii="宋体"/>
          <w:b/>
          <w:sz w:val="36"/>
          <w:szCs w:val="36"/>
        </w:rPr>
      </w:pPr>
    </w:p>
    <w:p>
      <w:pPr>
        <w:widowControl w:val="0"/>
        <w:adjustRightInd w:val="0"/>
        <w:snapToGrid w:val="0"/>
        <w:spacing w:line="560" w:lineRule="exact"/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第一部分 专项支持方案</w:t>
      </w:r>
    </w:p>
    <w:p>
      <w:pPr>
        <w:widowControl w:val="0"/>
        <w:adjustRightInd w:val="0"/>
        <w:snapToGrid w:val="0"/>
        <w:spacing w:line="560" w:lineRule="exact"/>
        <w:ind w:firstLineChars="200" w:firstLine="560"/>
        <w:jc w:val="center"/>
        <w:rPr>
          <w:rFonts w:ascii="宋体"/>
          <w:b/>
          <w:sz w:val="28"/>
          <w:szCs w:val="28"/>
        </w:rPr>
      </w:pPr>
    </w:p>
    <w:p>
      <w:pPr>
        <w:widowControl w:val="0"/>
        <w:adjustRightInd w:val="0"/>
        <w:snapToGrid w:val="0"/>
        <w:spacing w:line="560" w:lineRule="exact"/>
        <w:rPr>
          <w:rFonts w:ascii="仿宋_GB2312" w:eastAsia="仿宋_GB2312"/>
          <w:b/>
          <w:sz w:val="30"/>
          <w:szCs w:val="30"/>
        </w:rPr>
      </w:pPr>
      <w:r>
        <w:rPr>
          <w:rFonts w:ascii="宋体" w:hint="eastAsia"/>
          <w:b/>
          <w:sz w:val="28"/>
          <w:szCs w:val="28"/>
        </w:rPr>
        <w:t xml:space="preserve">  </w:t>
      </w:r>
      <w:r>
        <w:rPr>
          <w:rFonts w:ascii="仿宋_GB2312" w:eastAsia="仿宋_GB2312" w:hint="eastAsia"/>
          <w:b/>
          <w:sz w:val="30"/>
          <w:szCs w:val="30"/>
        </w:rPr>
        <w:t xml:space="preserve">  方案一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保障对象：全省驻村扶贫干部</w:t>
      </w:r>
    </w:p>
    <w:p>
      <w:pPr>
        <w:pStyle w:val="21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保障内容：</w:t>
      </w:r>
      <w:r>
        <w:rPr>
          <w:rFonts w:ascii="仿宋_GB2312" w:eastAsia="仿宋_GB2312" w:hint="eastAsia"/>
          <w:bCs/>
          <w:sz w:val="30"/>
          <w:szCs w:val="30"/>
        </w:rPr>
        <w:t>赠送</w:t>
      </w:r>
      <w:r>
        <w:rPr>
          <w:rFonts w:ascii="仿宋_GB2312" w:eastAsia="仿宋_GB2312" w:hint="eastAsia"/>
          <w:sz w:val="30"/>
          <w:szCs w:val="30"/>
        </w:rPr>
        <w:t>新冠肺炎</w:t>
      </w:r>
      <w:r>
        <w:rPr>
          <w:rFonts w:ascii="仿宋_GB2312" w:eastAsia="仿宋_GB2312" w:hint="eastAsia"/>
          <w:bCs/>
          <w:sz w:val="30"/>
          <w:szCs w:val="30"/>
        </w:rPr>
        <w:t>身故一次性补偿20万元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投保方式：由太保四川省公司和省扶贫移民局联系统一提供名单承保。</w:t>
      </w:r>
    </w:p>
    <w:p>
      <w:pPr>
        <w:widowControl w:val="0"/>
        <w:adjustRightInd w:val="0"/>
        <w:snapToGrid w:val="0"/>
        <w:spacing w:line="56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方案二</w:t>
      </w:r>
    </w:p>
    <w:p>
      <w:pPr>
        <w:pStyle w:val="21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保障单位：疫情防控重点物资生产企业</w:t>
      </w:r>
    </w:p>
    <w:p>
      <w:pPr>
        <w:pStyle w:val="21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保险责任：深化落实太保总公司与工信部战略合作协议</w:t>
      </w:r>
    </w:p>
    <w:p>
      <w:pPr>
        <w:pStyle w:val="21"/>
        <w:spacing w:line="560" w:lineRule="exact"/>
        <w:ind w:firstLineChars="350" w:firstLine="10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以优惠条件提供包括员工确诊补偿、员工身故补偿、企业防控费用在内的全面保障</w:t>
      </w:r>
    </w:p>
    <w:p>
      <w:pPr>
        <w:pStyle w:val="21"/>
        <w:spacing w:line="560" w:lineRule="exact"/>
        <w:ind w:firstLineChars="200" w:firstLine="600"/>
        <w:rPr>
          <w:rFonts w:ascii="仿宋_GB2312" w:eastAsia="仿宋_GB2312"/>
          <w:bCs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保险产品：传染病救助责任险新产品</w:t>
      </w:r>
    </w:p>
    <w:p>
      <w:pPr>
        <w:pStyle w:val="21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费率优惠：提供半价优惠费率</w:t>
      </w:r>
    </w:p>
    <w:p>
      <w:pPr>
        <w:pStyle w:val="21"/>
        <w:spacing w:after="59"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保险金额：保单限额翻倍、免费扩展全面保障方案</w:t>
      </w:r>
    </w:p>
    <w:p>
      <w:pPr>
        <w:pStyle w:val="21"/>
        <w:spacing w:after="60"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保险服务：风险管控服务、免除保险等待期、理赔绿色通道</w:t>
      </w:r>
    </w:p>
    <w:p>
      <w:pPr>
        <w:widowControl w:val="0"/>
        <w:adjustRightInd w:val="0"/>
        <w:snapToGrid w:val="0"/>
        <w:spacing w:line="56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方案三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>保障对象：农产品生产、流通、销售供应链企业，包括</w:t>
      </w:r>
    </w:p>
    <w:p>
      <w:pPr>
        <w:pStyle w:val="21"/>
        <w:spacing w:after="13"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 xml:space="preserve">    农产品生产主体：</w:t>
      </w:r>
      <w:r>
        <w:rPr>
          <w:rFonts w:ascii="仿宋_GB2312" w:eastAsia="仿宋_GB2312" w:hint="eastAsia"/>
          <w:sz w:val="30"/>
          <w:szCs w:val="30"/>
        </w:rPr>
        <w:t>包括农业企业、合作社、农户</w:t>
      </w:r>
    </w:p>
    <w:p>
      <w:pPr>
        <w:pStyle w:val="21"/>
        <w:spacing w:after="13"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 xml:space="preserve">    农产品流通主体：</w:t>
      </w:r>
      <w:r>
        <w:rPr>
          <w:rFonts w:ascii="仿宋_GB2312" w:eastAsia="仿宋_GB2312" w:hint="eastAsia"/>
          <w:sz w:val="30"/>
          <w:szCs w:val="30"/>
        </w:rPr>
        <w:t>包括农业企业、收购商、贸易商</w:t>
      </w:r>
    </w:p>
    <w:p>
      <w:pPr>
        <w:pStyle w:val="21"/>
        <w:spacing w:line="5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Cs/>
          <w:sz w:val="30"/>
          <w:szCs w:val="30"/>
        </w:rPr>
        <w:t xml:space="preserve">    农产品销售主体：</w:t>
      </w:r>
      <w:r>
        <w:rPr>
          <w:rFonts w:ascii="仿宋_GB2312" w:eastAsia="仿宋_GB2312" w:hint="eastAsia"/>
          <w:sz w:val="30"/>
          <w:szCs w:val="30"/>
        </w:rPr>
        <w:t>包括农业企业、合作社、生鲜超市</w:t>
      </w:r>
    </w:p>
    <w:p>
      <w:pPr>
        <w:pStyle w:val="21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以保障居民日常生活需要的基础农产品为主，包括</w:t>
      </w:r>
      <w:r>
        <w:rPr>
          <w:rFonts w:ascii="仿宋_GB2312" w:eastAsia="仿宋_GB2312" w:hint="eastAsia"/>
          <w:bCs/>
          <w:sz w:val="30"/>
          <w:szCs w:val="30"/>
        </w:rPr>
        <w:t>主粮、蔬菜、肉蛋奶和水果</w:t>
      </w:r>
      <w:r>
        <w:rPr>
          <w:rFonts w:ascii="仿宋_GB2312" w:eastAsia="仿宋_GB2312" w:hint="eastAsia"/>
          <w:sz w:val="30"/>
          <w:szCs w:val="30"/>
        </w:rPr>
        <w:t>等四大类。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具体措施：在现有产品基础上开发新产品，扩展保险责任、优惠保险费率，增加保险服务</w:t>
      </w:r>
    </w:p>
    <w:p>
      <w:pPr>
        <w:widowControl w:val="0"/>
        <w:adjustRightInd w:val="0"/>
        <w:snapToGrid w:val="0"/>
        <w:spacing w:line="560" w:lineRule="exact"/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保险方案简介</w:t>
      </w:r>
    </w:p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1"/>
        <w:gridCol w:w="1276"/>
        <w:gridCol w:w="3453"/>
      </w:tblGrid>
      <w:tr>
        <w:tc>
          <w:tcPr>
            <w:tcW w:w="1555" w:type="dxa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产品大类</w:t>
            </w:r>
          </w:p>
        </w:tc>
        <w:tc>
          <w:tcPr>
            <w:tcW w:w="2551" w:type="dxa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适配险种</w:t>
            </w:r>
          </w:p>
        </w:tc>
        <w:tc>
          <w:tcPr>
            <w:tcW w:w="1276" w:type="dxa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重点推进</w:t>
            </w:r>
          </w:p>
        </w:tc>
        <w:tc>
          <w:tcPr>
            <w:tcW w:w="3453" w:type="dxa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对接部门或客户</w:t>
            </w:r>
          </w:p>
        </w:tc>
      </w:tr>
      <w:tr>
        <w:tc>
          <w:tcPr>
            <w:tcW w:w="1555" w:type="dxa"/>
            <w:vMerge w:val="restart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（一）</w:t>
            </w:r>
          </w:p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指数类保险</w:t>
            </w:r>
          </w:p>
        </w:tc>
        <w:tc>
          <w:tcPr>
            <w:tcW w:w="2551" w:type="dxa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1</w:t>
            </w:r>
            <w:r>
              <w:rPr>
                <w:rFonts w:ascii="宋体" w:eastAsia="宋体" w:hint="eastAsia"/>
                <w:sz w:val="21"/>
                <w:szCs w:val="21"/>
              </w:rPr>
              <w:t>、气象指数保险</w:t>
            </w:r>
          </w:p>
        </w:tc>
        <w:tc>
          <w:tcPr>
            <w:tcW w:w="1276" w:type="dxa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√</w:t>
            </w:r>
          </w:p>
        </w:tc>
        <w:tc>
          <w:tcPr>
            <w:tcW w:w="3453" w:type="dxa"/>
            <w:vMerge w:val="restart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农业农村局、畜牧局、发改委等农业保险主管单位</w:t>
            </w:r>
          </w:p>
        </w:tc>
      </w:tr>
      <w:tr>
        <w:tc>
          <w:tcPr>
            <w:tcW w:w="1555" w:type="dxa"/>
            <w:vMerge/>
            <w:vAlign w:val="center"/>
          </w:tcPr>
          <w:p/>
        </w:tc>
        <w:tc>
          <w:tcPr>
            <w:tcW w:w="2551" w:type="dxa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2</w:t>
            </w:r>
            <w:r>
              <w:rPr>
                <w:rFonts w:ascii="宋体" w:eastAsia="宋体" w:hint="eastAsia"/>
                <w:sz w:val="21"/>
                <w:szCs w:val="21"/>
              </w:rPr>
              <w:t>、农产品价格指数保险</w:t>
            </w:r>
          </w:p>
        </w:tc>
        <w:tc>
          <w:tcPr>
            <w:tcW w:w="1276" w:type="dxa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√</w:t>
            </w:r>
          </w:p>
        </w:tc>
        <w:tc>
          <w:tcPr>
            <w:tcW w:w="3453" w:type="dxa"/>
            <w:vMerge/>
          </w:tcPr>
          <w:p/>
        </w:tc>
      </w:tr>
      <w:tr>
        <w:tc>
          <w:tcPr>
            <w:tcW w:w="1555" w:type="dxa"/>
            <w:vMerge/>
            <w:vAlign w:val="center"/>
          </w:tcPr>
          <w:p/>
        </w:tc>
        <w:tc>
          <w:tcPr>
            <w:tcW w:w="2551" w:type="dxa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3</w:t>
            </w:r>
            <w:r>
              <w:rPr>
                <w:rFonts w:ascii="宋体" w:eastAsia="宋体" w:hint="eastAsia"/>
                <w:sz w:val="21"/>
                <w:szCs w:val="21"/>
              </w:rPr>
              <w:t>、外延基地农产品采购价格保险</w:t>
            </w:r>
          </w:p>
        </w:tc>
        <w:tc>
          <w:tcPr>
            <w:tcW w:w="1276" w:type="dxa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√</w:t>
            </w:r>
          </w:p>
        </w:tc>
        <w:tc>
          <w:tcPr>
            <w:tcW w:w="3453" w:type="dxa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商务局、发改委</w:t>
            </w:r>
          </w:p>
        </w:tc>
      </w:tr>
      <w:tr>
        <w:tc>
          <w:tcPr>
            <w:tcW w:w="1555" w:type="dxa"/>
            <w:vMerge/>
            <w:vAlign w:val="center"/>
          </w:tcPr>
          <w:p/>
        </w:tc>
        <w:tc>
          <w:tcPr>
            <w:tcW w:w="2551" w:type="dxa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4</w:t>
            </w:r>
            <w:r>
              <w:rPr>
                <w:rFonts w:ascii="宋体" w:eastAsia="宋体" w:hint="eastAsia"/>
                <w:sz w:val="21"/>
                <w:szCs w:val="21"/>
              </w:rPr>
              <w:t>、收入保险</w:t>
            </w:r>
          </w:p>
        </w:tc>
        <w:tc>
          <w:tcPr>
            <w:tcW w:w="1276" w:type="dxa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√</w:t>
            </w:r>
          </w:p>
        </w:tc>
        <w:tc>
          <w:tcPr>
            <w:tcW w:w="3453" w:type="dxa"/>
          </w:tcPr>
          <w:p>
            <w:pPr>
              <w:widowControl w:val="0"/>
              <w:adjustRightInd w:val="0"/>
              <w:snapToGrid w:val="0"/>
              <w:spacing w:line="560" w:lineRule="exact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农业农村局、畜牧局、发改委等农业保险主管单位</w:t>
            </w:r>
          </w:p>
        </w:tc>
      </w:tr>
      <w:tr>
        <w:tc>
          <w:tcPr>
            <w:tcW w:w="1555" w:type="dxa"/>
            <w:vMerge w:val="restart"/>
            <w:vAlign w:val="center"/>
          </w:tcPr>
          <w:tbl>
            <w:tblPr>
              <w:jc w:val="lef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</w:tblGrid>
            <w:tr>
              <w:trPr>
                <w:trHeight w:val="110"/>
              </w:trPr>
              <w:tc>
                <w:tcPr>
                  <w:tcW w:w="1334" w:type="dxa"/>
                </w:tcPr>
                <w:p>
                  <w:pPr>
                    <w:widowControl w:val="0"/>
                    <w:overflowPunct/>
                    <w:autoSpaceDE w:val="0"/>
                    <w:autoSpaceDN w:val="0"/>
                    <w:spacing w:line="560" w:lineRule="exact"/>
                    <w:jc w:val="center"/>
                    <w:textAlignment w:val="auto"/>
                    <w:rPr>
                      <w:rFonts w:ascii="宋体" w:cs="黑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宋体" w:cs="黑体" w:hint="eastAsia"/>
                      <w:color w:val="000000"/>
                      <w:sz w:val="21"/>
                      <w:szCs w:val="21"/>
                    </w:rPr>
                    <w:t>（二）流通安全类保险</w:t>
                  </w:r>
                </w:p>
              </w:tc>
            </w:tr>
          </w:tbl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2551" w:type="dxa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1</w:t>
            </w:r>
            <w:r>
              <w:rPr>
                <w:rFonts w:ascii="宋体" w:eastAsia="宋体" w:hint="eastAsia"/>
                <w:sz w:val="21"/>
                <w:szCs w:val="21"/>
              </w:rPr>
              <w:t>、生鲜农产品物流保险</w:t>
            </w:r>
          </w:p>
        </w:tc>
        <w:tc>
          <w:tcPr>
            <w:tcW w:w="1276" w:type="dxa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√</w:t>
            </w:r>
          </w:p>
        </w:tc>
        <w:tc>
          <w:tcPr>
            <w:tcW w:w="3453" w:type="dxa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相关企业客户</w:t>
            </w:r>
          </w:p>
        </w:tc>
      </w:tr>
      <w:tr>
        <w:tc>
          <w:tcPr>
            <w:tcW w:w="1555" w:type="dxa"/>
            <w:vMerge/>
            <w:vAlign w:val="center"/>
          </w:tcPr>
          <w:p/>
        </w:tc>
        <w:tc>
          <w:tcPr>
            <w:tcW w:w="2551" w:type="dxa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2</w:t>
            </w:r>
            <w:r>
              <w:rPr>
                <w:rFonts w:ascii="宋体" w:eastAsia="宋体" w:hint="eastAsia"/>
                <w:sz w:val="21"/>
                <w:szCs w:val="21"/>
              </w:rPr>
              <w:t>、生鲜农产品仓储保险</w:t>
            </w:r>
          </w:p>
        </w:tc>
        <w:tc>
          <w:tcPr>
            <w:tcW w:w="1276" w:type="dxa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</w:p>
        </w:tc>
        <w:tc>
          <w:tcPr>
            <w:tcW w:w="3453" w:type="dxa"/>
          </w:tcPr>
          <w:p>
            <w:pPr>
              <w:widowControl w:val="0"/>
              <w:adjustRightInd w:val="0"/>
              <w:snapToGrid w:val="0"/>
              <w:spacing w:line="560" w:lineRule="exact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相关企业客户</w:t>
            </w:r>
          </w:p>
        </w:tc>
      </w:tr>
      <w:tr>
        <w:tc>
          <w:tcPr>
            <w:tcW w:w="1555" w:type="dxa"/>
            <w:vMerge/>
            <w:vAlign w:val="center"/>
          </w:tcPr>
          <w:p/>
        </w:tc>
        <w:tc>
          <w:tcPr>
            <w:tcW w:w="2551" w:type="dxa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/>
                <w:sz w:val="21"/>
                <w:szCs w:val="21"/>
              </w:rPr>
              <w:t>3</w:t>
            </w:r>
            <w:r>
              <w:rPr>
                <w:rFonts w:ascii="宋体" w:eastAsia="宋体" w:hint="eastAsia"/>
                <w:sz w:val="21"/>
                <w:szCs w:val="21"/>
              </w:rPr>
              <w:t>、农产品食用安全保险</w:t>
            </w:r>
          </w:p>
        </w:tc>
        <w:tc>
          <w:tcPr>
            <w:tcW w:w="1276" w:type="dxa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√</w:t>
            </w:r>
          </w:p>
        </w:tc>
        <w:tc>
          <w:tcPr>
            <w:tcW w:w="3453" w:type="dxa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市场监督管理局</w:t>
            </w:r>
          </w:p>
        </w:tc>
      </w:tr>
      <w:tr>
        <w:trPr>
          <w:trHeight w:val="110"/>
        </w:trPr>
        <w:tc>
          <w:tcPr>
            <w:tcW w:w="1555" w:type="dxa"/>
            <w:vAlign w:val="center"/>
          </w:tcPr>
          <w:p>
            <w:pPr>
              <w:widowControl w:val="0"/>
              <w:overflowPunct/>
              <w:autoSpaceDE w:val="0"/>
              <w:autoSpaceDN w:val="0"/>
              <w:spacing w:line="560" w:lineRule="exact"/>
              <w:jc w:val="center"/>
              <w:textAlignment w:val="auto"/>
              <w:rPr>
                <w:rFonts w:ascii="宋体" w:cs="黑体"/>
                <w:color w:val="000000"/>
                <w:sz w:val="21"/>
                <w:szCs w:val="21"/>
              </w:rPr>
            </w:pPr>
            <w:r>
              <w:rPr>
                <w:rFonts w:ascii="宋体" w:cs="黑体" w:hint="eastAsia"/>
                <w:color w:val="000000"/>
                <w:sz w:val="21"/>
                <w:szCs w:val="21"/>
              </w:rPr>
              <w:t>（三）物价类保险</w:t>
            </w:r>
          </w:p>
        </w:tc>
        <w:tc>
          <w:tcPr>
            <w:tcW w:w="2551" w:type="dxa"/>
          </w:tcPr>
          <w:p>
            <w:pPr>
              <w:widowControl w:val="0"/>
              <w:overflowPunct/>
              <w:autoSpaceDE w:val="0"/>
              <w:autoSpaceDN w:val="0"/>
              <w:spacing w:line="560" w:lineRule="exact"/>
              <w:textAlignment w:val="auto"/>
              <w:rPr>
                <w:rFonts w:ascii="宋体" w:cs="黑体"/>
                <w:color w:val="000000"/>
                <w:sz w:val="21"/>
                <w:szCs w:val="21"/>
              </w:rPr>
            </w:pPr>
            <w:r>
              <w:rPr>
                <w:rFonts w:ascii="宋体" w:cs="黑体" w:hint="eastAsia"/>
                <w:color w:val="000000"/>
                <w:sz w:val="21"/>
                <w:szCs w:val="21"/>
              </w:rPr>
              <w:t>低收入人群</w:t>
            </w:r>
            <w:r>
              <w:rPr>
                <w:rFonts w:ascii="宋体" w:cs="黑体"/>
                <w:color w:val="000000"/>
                <w:sz w:val="21"/>
                <w:szCs w:val="21"/>
              </w:rPr>
              <w:t>“</w:t>
            </w:r>
            <w:r>
              <w:rPr>
                <w:rFonts w:ascii="宋体" w:cs="黑体" w:hint="eastAsia"/>
                <w:color w:val="000000"/>
                <w:sz w:val="21"/>
                <w:szCs w:val="21"/>
              </w:rPr>
              <w:t>菜篮子</w:t>
            </w:r>
            <w:r>
              <w:rPr>
                <w:rFonts w:ascii="宋体" w:cs="黑体"/>
                <w:color w:val="000000"/>
                <w:sz w:val="21"/>
                <w:szCs w:val="21"/>
              </w:rPr>
              <w:t>”</w:t>
            </w:r>
            <w:r>
              <w:rPr>
                <w:rFonts w:ascii="宋体" w:cs="黑体" w:hint="eastAsia"/>
                <w:color w:val="000000"/>
                <w:sz w:val="21"/>
                <w:szCs w:val="21"/>
              </w:rPr>
              <w:t>物价指数保险</w:t>
            </w:r>
          </w:p>
        </w:tc>
        <w:tc>
          <w:tcPr>
            <w:tcW w:w="1276" w:type="dxa"/>
          </w:tcPr>
          <w:p>
            <w:pPr>
              <w:widowControl w:val="0"/>
              <w:overflowPunct/>
              <w:autoSpaceDE w:val="0"/>
              <w:autoSpaceDN w:val="0"/>
              <w:spacing w:line="560" w:lineRule="exact"/>
              <w:jc w:val="center"/>
              <w:textAlignment w:val="auto"/>
              <w:rPr>
                <w:rFonts w:ascii="宋体" w:cs="黑体"/>
                <w:color w:val="000000"/>
                <w:sz w:val="21"/>
                <w:szCs w:val="21"/>
              </w:rPr>
            </w:pPr>
            <w:r>
              <w:rPr>
                <w:rFonts w:ascii="宋体" w:cs="黑体" w:hint="eastAsia"/>
                <w:color w:val="000000"/>
                <w:sz w:val="21"/>
                <w:szCs w:val="21"/>
              </w:rPr>
              <w:t>√</w:t>
            </w:r>
          </w:p>
        </w:tc>
        <w:tc>
          <w:tcPr>
            <w:tcW w:w="3453" w:type="dxa"/>
          </w:tcPr>
          <w:p>
            <w:pPr>
              <w:widowControl w:val="0"/>
              <w:overflowPunct/>
              <w:autoSpaceDE w:val="0"/>
              <w:autoSpaceDN w:val="0"/>
              <w:spacing w:line="560" w:lineRule="exact"/>
              <w:textAlignment w:val="auto"/>
              <w:rPr>
                <w:rFonts w:ascii="宋体" w:cs="黑体"/>
                <w:color w:val="000000"/>
                <w:sz w:val="21"/>
                <w:szCs w:val="21"/>
              </w:rPr>
            </w:pPr>
            <w:r>
              <w:rPr>
                <w:rFonts w:ascii="宋体" w:cs="黑体" w:hint="eastAsia"/>
                <w:color w:val="000000"/>
                <w:sz w:val="21"/>
                <w:szCs w:val="21"/>
              </w:rPr>
              <w:t>农业农村局、发改委、民政局等</w:t>
            </w:r>
          </w:p>
        </w:tc>
      </w:tr>
    </w:tbl>
    <w:p>
      <w:pPr>
        <w:widowControl w:val="0"/>
        <w:adjustRightInd w:val="0"/>
        <w:snapToGrid w:val="0"/>
        <w:spacing w:line="560" w:lineRule="exact"/>
        <w:jc w:val="center"/>
        <w:rPr>
          <w:rFonts w:ascii="宋体"/>
          <w:b/>
          <w:color w:val="000000"/>
          <w:spacing w:val="-20"/>
          <w:sz w:val="36"/>
          <w:szCs w:val="36"/>
        </w:rPr>
      </w:pPr>
      <w:r>
        <w:rPr>
          <w:rFonts w:ascii="宋体" w:hint="eastAsia"/>
          <w:b/>
          <w:color w:val="000000"/>
          <w:spacing w:val="-20"/>
          <w:sz w:val="36"/>
          <w:szCs w:val="36"/>
        </w:rPr>
        <w:t>第二部分   定制</w:t>
      </w:r>
      <w:r>
        <w:rPr>
          <w:rFonts w:ascii="宋体"/>
          <w:b/>
          <w:color w:val="000000"/>
          <w:spacing w:val="-20"/>
          <w:sz w:val="36"/>
          <w:szCs w:val="36"/>
        </w:rPr>
        <w:t>支持方案</w:t>
      </w:r>
    </w:p>
    <w:p>
      <w:pPr>
        <w:widowControl w:val="0"/>
        <w:adjustRightInd w:val="0"/>
        <w:snapToGrid w:val="0"/>
        <w:spacing w:line="560" w:lineRule="exact"/>
        <w:ind w:firstLineChars="200" w:firstLine="720"/>
        <w:jc w:val="center"/>
        <w:rPr>
          <w:rFonts w:ascii="宋体"/>
          <w:b/>
          <w:sz w:val="36"/>
          <w:szCs w:val="36"/>
        </w:rPr>
      </w:pPr>
      <w:bookmarkStart w:id="1" w:name="CM_FASTDEGREE"/>
      <w:bookmarkStart w:id="2" w:name="CM_SEC_Tip"/>
      <w:bookmarkEnd w:id="1"/>
      <w:bookmarkEnd w:id="2"/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方案一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投保人/被保险人：复工复产企业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保险期限：6个月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保额：产品、工资、隔离费用总保额200万元，赔偿限额200万元。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保险责任   停工停产损失：产品停产损失和费用。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隔离雇员工资：最多14天，限额6000元。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确诊雇员工资：最多6个月。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隔离费用：1000元/人/次。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保险费率：6%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保险费：12万元（政府补贴70%，企业30%）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免赔：每次事故免赔10000元或者损失的10%，以高者为准。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保险模式：可以我司独家承保，也可以采取多家保险公司共报模式。为了体现保险的社会保障、服务功能，可以由2-3家偿付能力比较强的保险公司组成共保体。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投保数量：暂定规上企业或者标杆企业100-200家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方案二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投保人/被保险人：小微企业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保险期限：6个月 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保额：法定传染病导致停工停产，每家企业按照3500元/天赔付，累计赔偿限额10万元。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保险费：2000元。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保险模式：可以我司独家承保，也可以采取多家保险公司共报模式。为了体现保险的社会保障、服务功能，可以由2-3家偿付能力比较强的保险公司组成共保体。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投保数量：暂定小微企业500家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方案三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投保人/被保险人：个体工商户和小微企业</w:t>
      </w:r>
    </w:p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包括：卫生、社会福利和社会保障业，教育，居民服务和其他服务，租赁和商务服务业，信息运输，计算机服务和软件业，住宿和餐饮业，批发和零售业，文化、体育和娱乐业。</w:t>
      </w:r>
    </w:p>
    <w:p>
      <w:pPr>
        <w:widowControl w:val="0"/>
        <w:adjustRightInd w:val="0"/>
        <w:snapToGrid w:val="0"/>
        <w:spacing w:line="560" w:lineRule="exact"/>
        <w:ind w:firstLineChars="1100" w:firstLine="308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保险方案简介</w:t>
      </w:r>
    </w:p>
    <w:tbl>
      <w:tblPr>
        <w:jc w:val="lef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2693"/>
        <w:gridCol w:w="2036"/>
      </w:tblGrid>
      <w:tr>
        <w:tc>
          <w:tcPr>
            <w:tcW w:w="4106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保障项目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基础版</w:t>
            </w:r>
          </w:p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405元/年</w:t>
            </w:r>
          </w:p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t>（</w:t>
            </w:r>
            <w:r>
              <w:rPr>
                <w:rFonts w:ascii="宋体" w:hint="eastAsia"/>
                <w:sz w:val="21"/>
                <w:szCs w:val="21"/>
              </w:rPr>
              <w:t>限3个</w:t>
            </w:r>
            <w:r>
              <w:rPr>
                <w:rFonts w:ascii="宋体"/>
                <w:sz w:val="21"/>
                <w:szCs w:val="21"/>
              </w:rPr>
              <w:t>被保险人）</w:t>
            </w:r>
          </w:p>
        </w:tc>
        <w:tc>
          <w:tcPr>
            <w:tcW w:w="2036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升级版</w:t>
            </w:r>
          </w:p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896元/年</w:t>
            </w:r>
          </w:p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t>（</w:t>
            </w:r>
            <w:r>
              <w:rPr>
                <w:rFonts w:ascii="宋体" w:hint="eastAsia"/>
                <w:sz w:val="21"/>
                <w:szCs w:val="21"/>
              </w:rPr>
              <w:t>限5个</w:t>
            </w:r>
            <w:r>
              <w:rPr>
                <w:rFonts w:ascii="宋体"/>
                <w:sz w:val="21"/>
                <w:szCs w:val="21"/>
              </w:rPr>
              <w:t>被保险人）</w:t>
            </w:r>
          </w:p>
        </w:tc>
      </w:tr>
      <w:tr>
        <w:tc>
          <w:tcPr>
            <w:tcW w:w="4106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人身意外伤害</w:t>
            </w:r>
            <w:r>
              <w:rPr>
                <w:rFonts w:ascii="宋体"/>
                <w:sz w:val="28"/>
                <w:szCs w:val="28"/>
              </w:rPr>
              <w:t>身故或残疾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5</w:t>
            </w:r>
            <w:r>
              <w:rPr>
                <w:rFonts w:ascii="宋体" w:hint="eastAsia"/>
                <w:sz w:val="28"/>
                <w:szCs w:val="28"/>
              </w:rPr>
              <w:t>万元/人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10</w:t>
            </w:r>
            <w:r>
              <w:rPr>
                <w:rFonts w:ascii="宋体" w:hint="eastAsia"/>
                <w:sz w:val="28"/>
                <w:szCs w:val="28"/>
              </w:rPr>
              <w:t>万元/人</w:t>
            </w:r>
          </w:p>
        </w:tc>
      </w:tr>
      <w:tr>
        <w:tc>
          <w:tcPr>
            <w:tcW w:w="4106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人身意外伤害医疗费用</w:t>
            </w:r>
          </w:p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t>（</w:t>
            </w:r>
            <w:r>
              <w:rPr>
                <w:rFonts w:ascii="宋体" w:hint="eastAsia"/>
                <w:sz w:val="21"/>
                <w:szCs w:val="21"/>
              </w:rPr>
              <w:t>每人每次</w:t>
            </w:r>
            <w:r>
              <w:rPr>
                <w:rFonts w:ascii="宋体"/>
                <w:sz w:val="21"/>
                <w:szCs w:val="21"/>
              </w:rPr>
              <w:t>免赔</w:t>
            </w:r>
            <w:r>
              <w:rPr>
                <w:rFonts w:ascii="宋体" w:hint="eastAsia"/>
                <w:sz w:val="21"/>
                <w:szCs w:val="21"/>
              </w:rPr>
              <w:t>100元</w:t>
            </w:r>
            <w:r>
              <w:rPr>
                <w:rFonts w:ascii="宋体"/>
                <w:sz w:val="21"/>
                <w:szCs w:val="21"/>
              </w:rPr>
              <w:t>，赔付比例</w:t>
            </w:r>
            <w:r>
              <w:rPr>
                <w:rFonts w:ascii="宋体" w:hint="eastAsia"/>
                <w:sz w:val="21"/>
                <w:szCs w:val="21"/>
              </w:rPr>
              <w:t>80</w:t>
            </w:r>
            <w:r>
              <w:rPr>
                <w:rFonts w:ascii="宋体"/>
                <w:sz w:val="21"/>
                <w:szCs w:val="21"/>
              </w:rPr>
              <w:t>%）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5000</w:t>
            </w:r>
            <w:r>
              <w:rPr>
                <w:rFonts w:ascii="宋体" w:hint="eastAsia"/>
                <w:sz w:val="28"/>
                <w:szCs w:val="28"/>
              </w:rPr>
              <w:t>元/人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  <w:r>
              <w:rPr>
                <w:rFonts w:ascii="宋体" w:hint="eastAsia"/>
                <w:sz w:val="28"/>
                <w:szCs w:val="28"/>
              </w:rPr>
              <w:t>万元/人</w:t>
            </w:r>
          </w:p>
        </w:tc>
      </w:tr>
      <w:tr>
        <w:tc>
          <w:tcPr>
            <w:tcW w:w="4106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特定传染病</w:t>
            </w:r>
            <w:r>
              <w:rPr>
                <w:rFonts w:ascii="宋体"/>
                <w:sz w:val="28"/>
                <w:szCs w:val="28"/>
              </w:rPr>
              <w:t>疾病保险</w:t>
            </w:r>
            <w:r>
              <w:rPr>
                <w:rFonts w:ascii="宋体" w:hint="eastAsia"/>
                <w:sz w:val="28"/>
                <w:szCs w:val="28"/>
              </w:rPr>
              <w:t>金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1000</w:t>
            </w:r>
            <w:r>
              <w:rPr>
                <w:rFonts w:ascii="宋体" w:hint="eastAsia"/>
                <w:sz w:val="28"/>
                <w:szCs w:val="28"/>
              </w:rPr>
              <w:t>元/人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3000</w:t>
            </w:r>
            <w:r>
              <w:rPr>
                <w:rFonts w:ascii="宋体" w:hint="eastAsia"/>
                <w:sz w:val="28"/>
                <w:szCs w:val="28"/>
              </w:rPr>
              <w:t>元/人</w:t>
            </w:r>
          </w:p>
        </w:tc>
      </w:tr>
      <w:tr>
        <w:tc>
          <w:tcPr>
            <w:tcW w:w="4106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特定传染病身故</w:t>
            </w:r>
            <w:r>
              <w:rPr>
                <w:rFonts w:ascii="宋体"/>
                <w:sz w:val="28"/>
                <w:szCs w:val="28"/>
              </w:rPr>
              <w:t>保险</w:t>
            </w:r>
            <w:r>
              <w:rPr>
                <w:rFonts w:ascii="宋体" w:hint="eastAsia"/>
                <w:sz w:val="28"/>
                <w:szCs w:val="28"/>
              </w:rPr>
              <w:t>金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3</w:t>
            </w:r>
            <w:r>
              <w:rPr>
                <w:rFonts w:ascii="宋体" w:hint="eastAsia"/>
                <w:sz w:val="28"/>
                <w:szCs w:val="28"/>
              </w:rPr>
              <w:t>万元/人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5</w:t>
            </w:r>
            <w:r>
              <w:rPr>
                <w:rFonts w:ascii="宋体" w:hint="eastAsia"/>
                <w:sz w:val="28"/>
                <w:szCs w:val="28"/>
              </w:rPr>
              <w:t>万元/人</w:t>
            </w:r>
          </w:p>
        </w:tc>
      </w:tr>
      <w:tr>
        <w:tc>
          <w:tcPr>
            <w:tcW w:w="4106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公众第三者责任保障</w:t>
            </w:r>
            <w:r>
              <w:rPr>
                <w:rFonts w:ascii="宋体" w:hint="eastAsia"/>
                <w:sz w:val="21"/>
                <w:szCs w:val="21"/>
              </w:rPr>
              <w:t>（人身</w:t>
            </w:r>
            <w:r>
              <w:rPr>
                <w:rFonts w:ascii="宋体"/>
                <w:sz w:val="21"/>
                <w:szCs w:val="21"/>
              </w:rPr>
              <w:t>伤亡免赔</w:t>
            </w:r>
            <w:r>
              <w:rPr>
                <w:rFonts w:ascii="宋体" w:hint="eastAsia"/>
                <w:sz w:val="21"/>
                <w:szCs w:val="21"/>
              </w:rPr>
              <w:t>额500元</w:t>
            </w:r>
            <w:r>
              <w:rPr>
                <w:rFonts w:ascii="宋体"/>
                <w:sz w:val="21"/>
                <w:szCs w:val="21"/>
              </w:rPr>
              <w:t>，物质损失</w:t>
            </w:r>
            <w:r>
              <w:rPr>
                <w:rFonts w:ascii="宋体" w:hint="eastAsia"/>
                <w:sz w:val="21"/>
                <w:szCs w:val="21"/>
              </w:rPr>
              <w:t>免赔额1000元</w:t>
            </w:r>
            <w:r>
              <w:rPr>
                <w:rFonts w:ascii="宋体"/>
                <w:sz w:val="21"/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1</w:t>
            </w:r>
            <w:r>
              <w:rPr>
                <w:rFonts w:ascii="宋体" w:hint="eastAsia"/>
                <w:sz w:val="28"/>
                <w:szCs w:val="28"/>
              </w:rPr>
              <w:t>万元/人</w:t>
            </w:r>
          </w:p>
        </w:tc>
        <w:tc>
          <w:tcPr>
            <w:tcW w:w="2036" w:type="dxa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2</w:t>
            </w:r>
            <w:r>
              <w:rPr>
                <w:rFonts w:ascii="宋体" w:hint="eastAsia"/>
                <w:sz w:val="28"/>
                <w:szCs w:val="28"/>
              </w:rPr>
              <w:t>万元/人</w:t>
            </w:r>
          </w:p>
        </w:tc>
      </w:tr>
      <w:tr>
        <w:tc>
          <w:tcPr>
            <w:tcW w:w="4106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店内财产火灾</w:t>
            </w:r>
            <w:r>
              <w:rPr>
                <w:rFonts w:ascii="宋体"/>
                <w:sz w:val="28"/>
                <w:szCs w:val="28"/>
              </w:rPr>
              <w:t>、爆炸保障</w:t>
            </w:r>
          </w:p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（免赔额1000元</w:t>
            </w:r>
            <w:r>
              <w:rPr>
                <w:rFonts w:ascii="宋体"/>
                <w:sz w:val="21"/>
                <w:szCs w:val="21"/>
              </w:rPr>
              <w:t>）</w:t>
            </w:r>
          </w:p>
        </w:tc>
        <w:tc>
          <w:tcPr>
            <w:tcW w:w="2693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>5</w:t>
            </w:r>
            <w:r>
              <w:rPr>
                <w:rFonts w:ascii="宋体" w:hint="eastAsia"/>
                <w:sz w:val="28"/>
                <w:szCs w:val="28"/>
              </w:rPr>
              <w:t>万元</w:t>
            </w:r>
          </w:p>
        </w:tc>
        <w:tc>
          <w:tcPr>
            <w:tcW w:w="2036" w:type="dxa"/>
            <w:vAlign w:val="center"/>
          </w:tcPr>
          <w:p>
            <w:pPr>
              <w:widowControl w:val="0"/>
              <w:adjustRightInd w:val="0"/>
              <w:snapToGrid w:val="0"/>
              <w:spacing w:line="5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10万元</w:t>
            </w:r>
          </w:p>
        </w:tc>
      </w:tr>
    </w:tbl>
    <w:p>
      <w:pPr>
        <w:widowControl w:val="0"/>
        <w:adjustRightInd w:val="0"/>
        <w:snapToGrid w:val="0"/>
        <w:spacing w:line="56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投保</w:t>
      </w:r>
      <w:r>
        <w:rPr>
          <w:rFonts w:ascii="宋体"/>
          <w:sz w:val="28"/>
          <w:szCs w:val="28"/>
        </w:rPr>
        <w:t>数量：</w:t>
      </w:r>
      <w:r>
        <w:rPr>
          <w:rFonts w:ascii="宋体" w:hint="eastAsia"/>
          <w:sz w:val="28"/>
          <w:szCs w:val="28"/>
        </w:rPr>
        <w:t>暂定小微</w:t>
      </w:r>
      <w:r>
        <w:rPr>
          <w:rFonts w:ascii="宋体"/>
          <w:sz w:val="28"/>
          <w:szCs w:val="28"/>
        </w:rPr>
        <w:t>企业1000</w:t>
      </w:r>
      <w:r>
        <w:rPr>
          <w:rFonts w:ascii="宋体" w:hint="eastAsia"/>
          <w:sz w:val="28"/>
          <w:szCs w:val="28"/>
        </w:rPr>
        <w:t>家</w:t>
      </w:r>
    </w:p>
    <w:p>
      <w:pPr>
        <w:widowControl w:val="0"/>
        <w:adjustRightInd w:val="0"/>
        <w:snapToGrid w:val="0"/>
        <w:spacing w:line="560" w:lineRule="exact"/>
        <w:rPr>
          <w:rFonts w:ascii="宋体"/>
          <w:b/>
          <w:sz w:val="32"/>
          <w:szCs w:val="32"/>
        </w:rPr>
      </w:pPr>
    </w:p>
    <w:p>
      <w:pPr>
        <w:widowControl w:val="0"/>
        <w:adjustRightInd w:val="0"/>
        <w:snapToGrid w:val="0"/>
        <w:spacing w:line="560" w:lineRule="exact"/>
        <w:jc w:val="center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第三部分  普适支持方案</w:t>
      </w:r>
    </w:p>
    <w:p>
      <w:pPr>
        <w:widowControl w:val="0"/>
        <w:adjustRightInd w:val="0"/>
        <w:snapToGrid w:val="0"/>
        <w:spacing w:line="560" w:lineRule="exact"/>
        <w:jc w:val="both"/>
        <w:rPr>
          <w:rFonts w:ascii="宋体"/>
          <w:b/>
          <w:sz w:val="32"/>
          <w:szCs w:val="32"/>
        </w:rPr>
      </w:pPr>
    </w:p>
    <w:p>
      <w:pPr>
        <w:widowControl w:val="0"/>
        <w:adjustRightInd w:val="0"/>
        <w:snapToGrid w:val="0"/>
        <w:spacing w:line="560" w:lineRule="exact"/>
        <w:jc w:val="center"/>
        <w:rPr>
          <w:rFonts w:ascii="宋体"/>
          <w:sz w:val="28"/>
          <w:szCs w:val="28"/>
        </w:rPr>
      </w:pPr>
      <w:r>
        <w:rPr>
          <w:rFonts w:ascii="宋体" w:hint="eastAsia"/>
          <w:sz w:val="28"/>
          <w:szCs w:val="28"/>
        </w:rPr>
        <w:t>保险方案简介</w:t>
      </w:r>
    </w:p>
    <w:tbl>
      <w:tblPr>
        <w:jc w:val="left"/>
        <w:tblInd w:w="0" w:type="dxa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6"/>
        <w:gridCol w:w="1323"/>
        <w:gridCol w:w="2268"/>
        <w:gridCol w:w="3264"/>
      </w:tblGrid>
      <w:tr>
        <w:tc>
          <w:tcPr>
            <w:tcW w:w="2216" w:type="dxa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bCs/>
                <w:sz w:val="21"/>
                <w:szCs w:val="21"/>
              </w:rPr>
              <w:t>重点支持行业</w:t>
            </w:r>
            <w:r>
              <w:rPr>
                <w:rFonts w:ascii="宋体" w:eastAsia="宋体" w:cs="Calibri"/>
                <w:bCs/>
                <w:sz w:val="21"/>
                <w:szCs w:val="21"/>
              </w:rPr>
              <w:t>/</w:t>
            </w:r>
            <w:r>
              <w:rPr>
                <w:rFonts w:ascii="宋体" w:eastAsia="宋体" w:hint="eastAsia"/>
                <w:bCs/>
                <w:sz w:val="21"/>
                <w:szCs w:val="21"/>
              </w:rPr>
              <w:t>人群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bCs/>
                <w:sz w:val="21"/>
                <w:szCs w:val="21"/>
              </w:rPr>
              <w:t>产品方案</w:t>
            </w:r>
          </w:p>
        </w:tc>
        <w:tc>
          <w:tcPr>
            <w:tcW w:w="3264" w:type="dxa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bCs/>
                <w:sz w:val="21"/>
                <w:szCs w:val="21"/>
              </w:rPr>
              <w:t>支持重点</w:t>
            </w:r>
          </w:p>
        </w:tc>
      </w:tr>
      <w:tr>
        <w:tc>
          <w:tcPr>
            <w:tcW w:w="2216" w:type="dxa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bCs/>
                <w:sz w:val="21"/>
                <w:szCs w:val="21"/>
              </w:rPr>
              <w:t>生产、制造行业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安全生产责任保险（扩展新冠责任）</w:t>
            </w:r>
          </w:p>
        </w:tc>
        <w:tc>
          <w:tcPr>
            <w:tcW w:w="3264" w:type="dxa"/>
            <w:vAlign w:val="center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保障企业复工员工防疫风险、提供确诊新冠肺炎死亡给付</w:t>
            </w:r>
          </w:p>
        </w:tc>
      </w:tr>
      <w:tr>
        <w:tc>
          <w:tcPr>
            <w:tcW w:w="2216" w:type="dxa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bCs/>
                <w:sz w:val="21"/>
                <w:szCs w:val="21"/>
              </w:rPr>
              <w:t>旅游行业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旅行社旅游服务质量保证金履约保证保险</w:t>
            </w:r>
          </w:p>
        </w:tc>
        <w:tc>
          <w:tcPr>
            <w:tcW w:w="3264" w:type="dxa"/>
            <w:vAlign w:val="center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缓解旅行社资金压力、为旅游质量服务保证金提供履约保证</w:t>
            </w:r>
          </w:p>
        </w:tc>
      </w:tr>
      <w:tr>
        <w:tc>
          <w:tcPr>
            <w:tcW w:w="2216" w:type="dxa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bCs/>
                <w:sz w:val="21"/>
                <w:szCs w:val="21"/>
              </w:rPr>
              <w:t>所有行业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传染病疫情防控财产保险</w:t>
            </w:r>
          </w:p>
        </w:tc>
        <w:tc>
          <w:tcPr>
            <w:tcW w:w="3264" w:type="dxa"/>
            <w:vAlign w:val="center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保障企业复工财产安全风险和营业损失风险、提供在产品、隔离费用、员工工资等损失补偿</w:t>
            </w:r>
          </w:p>
        </w:tc>
      </w:tr>
      <w:tr>
        <w:tc>
          <w:tcPr>
            <w:tcW w:w="2216" w:type="dxa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bCs/>
                <w:sz w:val="21"/>
                <w:szCs w:val="21"/>
              </w:rPr>
              <w:t>所有行业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雇主责任保险扩展传染病补偿责任</w:t>
            </w:r>
          </w:p>
        </w:tc>
        <w:tc>
          <w:tcPr>
            <w:tcW w:w="3264" w:type="dxa"/>
            <w:vAlign w:val="center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保障企业复工员工防疫风险、提供确诊新冠肺炎死亡给付</w:t>
            </w:r>
          </w:p>
        </w:tc>
      </w:tr>
      <w:tr>
        <w:tc>
          <w:tcPr>
            <w:tcW w:w="2216" w:type="dxa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bCs/>
                <w:sz w:val="21"/>
                <w:szCs w:val="21"/>
              </w:rPr>
              <w:t>所有行业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附加团体特定传染病保险、附加团体扩展</w:t>
            </w:r>
            <w:r>
              <w:rPr>
                <w:rFonts w:ascii="宋体" w:eastAsia="宋体"/>
                <w:sz w:val="21"/>
                <w:szCs w:val="21"/>
              </w:rPr>
              <w:t>新型</w:t>
            </w:r>
            <w:bookmarkStart w:id="3" w:name="_GoBack"/>
            <w:bookmarkEnd w:id="3"/>
            <w:r>
              <w:rPr>
                <w:rFonts w:ascii="宋体" w:eastAsia="宋体" w:hint="eastAsia"/>
                <w:sz w:val="21"/>
                <w:szCs w:val="21"/>
              </w:rPr>
              <w:t>冠状病毒肺炎保险</w:t>
            </w:r>
          </w:p>
        </w:tc>
        <w:tc>
          <w:tcPr>
            <w:tcW w:w="3264" w:type="dxa"/>
            <w:vAlign w:val="center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保障企业复工员工防疫风险、提供确诊新冠肺炎死亡给付</w:t>
            </w:r>
          </w:p>
        </w:tc>
      </w:tr>
      <w:tr>
        <w:tc>
          <w:tcPr>
            <w:tcW w:w="2216" w:type="dxa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bCs/>
                <w:sz w:val="21"/>
                <w:szCs w:val="21"/>
              </w:rPr>
              <w:t>社会团体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传染病救助责任保险（及附加防控费用保险、附加确诊救助责任保险）</w:t>
            </w:r>
          </w:p>
        </w:tc>
        <w:tc>
          <w:tcPr>
            <w:tcW w:w="3264" w:type="dxa"/>
            <w:vAlign w:val="center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保障社会公众防疫风险、提供新冠肺炎确诊或死亡给付及防控费用补偿</w:t>
            </w:r>
          </w:p>
        </w:tc>
      </w:tr>
      <w:tr>
        <w:tc>
          <w:tcPr>
            <w:tcW w:w="2216" w:type="dxa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bCs/>
                <w:sz w:val="21"/>
                <w:szCs w:val="21"/>
              </w:rPr>
              <w:t>社会公众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附加重症救助责任保险</w:t>
            </w:r>
          </w:p>
        </w:tc>
        <w:tc>
          <w:tcPr>
            <w:tcW w:w="3264" w:type="dxa"/>
            <w:vAlign w:val="center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保障社会公众防疫风险、提供重症新冠肺炎确诊给付</w:t>
            </w:r>
          </w:p>
        </w:tc>
      </w:tr>
      <w:tr>
        <w:tc>
          <w:tcPr>
            <w:tcW w:w="3539" w:type="dxa"/>
            <w:gridSpan w:val="2"/>
            <w:vAlign w:val="center"/>
          </w:tcPr>
          <w:p>
            <w:pPr>
              <w:pStyle w:val="21"/>
              <w:spacing w:line="560" w:lineRule="exact"/>
              <w:jc w:val="center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bCs/>
                <w:sz w:val="21"/>
                <w:szCs w:val="21"/>
              </w:rPr>
              <w:t>重点人群</w:t>
            </w:r>
            <w:r>
              <w:rPr>
                <w:rFonts w:ascii="宋体" w:eastAsia="宋体" w:hint="eastAsia"/>
                <w:sz w:val="21"/>
                <w:szCs w:val="21"/>
              </w:rPr>
              <w:t>（医务人员、政府</w:t>
            </w:r>
            <w:r>
              <w:rPr>
                <w:rFonts w:ascii="宋体" w:eastAsia="宋体"/>
                <w:sz w:val="21"/>
                <w:szCs w:val="21"/>
              </w:rPr>
              <w:t>工作人员、</w:t>
            </w:r>
            <w:r>
              <w:rPr>
                <w:rFonts w:ascii="宋体" w:eastAsia="宋体" w:hint="eastAsia"/>
                <w:sz w:val="21"/>
                <w:szCs w:val="21"/>
              </w:rPr>
              <w:t>旅游、航空、、短期交通、学生幼儿、驾乘人员、、警务执法人员、体育健身运动人员等）</w:t>
            </w:r>
          </w:p>
        </w:tc>
        <w:tc>
          <w:tcPr>
            <w:tcW w:w="2268" w:type="dxa"/>
            <w:vAlign w:val="center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人身意外伤害保险（扩展新冠责任）</w:t>
            </w:r>
          </w:p>
        </w:tc>
        <w:tc>
          <w:tcPr>
            <w:tcW w:w="3264" w:type="dxa"/>
            <w:vAlign w:val="center"/>
          </w:tcPr>
          <w:p>
            <w:pPr>
              <w:pStyle w:val="21"/>
              <w:spacing w:line="560" w:lineRule="exact"/>
              <w:rPr>
                <w:rFonts w:ascii="宋体" w:eastAsia="宋体"/>
                <w:sz w:val="21"/>
                <w:szCs w:val="21"/>
              </w:rPr>
            </w:pPr>
            <w:r>
              <w:rPr>
                <w:rFonts w:ascii="宋体" w:eastAsia="宋体" w:hint="eastAsia"/>
                <w:sz w:val="21"/>
                <w:szCs w:val="21"/>
              </w:rPr>
              <w:t>保障社会公众防疫风险、提供新冠肺炎确诊或死亡给付</w:t>
            </w:r>
          </w:p>
        </w:tc>
      </w:tr>
    </w:tbl>
    <w:p>
      <w:pPr>
        <w:widowControl w:val="0"/>
        <w:adjustRightInd w:val="0"/>
        <w:snapToGrid w:val="0"/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具体措施：投保我司相关险种，包括新冠肺炎保险，即可享受费率8折优惠。</w:t>
      </w:r>
    </w:p>
    <w:p>
      <w:pPr>
        <w:widowControl w:val="0"/>
        <w:adjustRightInd w:val="0"/>
        <w:snapToGrid w:val="0"/>
        <w:spacing w:line="560" w:lineRule="exact"/>
        <w:ind w:firstLineChars="200" w:firstLine="560"/>
        <w:jc w:val="right"/>
        <w:rPr>
          <w:rFonts w:ascii="宋体"/>
          <w:sz w:val="28"/>
          <w:szCs w:val="28"/>
        </w:rPr>
      </w:pPr>
    </w:p>
    <w:p>
      <w:pPr>
        <w:widowControl w:val="0"/>
        <w:adjustRightInd w:val="0"/>
        <w:snapToGrid w:val="0"/>
        <w:spacing w:line="560" w:lineRule="exact"/>
        <w:ind w:firstLineChars="200" w:firstLine="560"/>
        <w:jc w:val="right"/>
        <w:rPr>
          <w:rFonts w:ascii="宋体"/>
          <w:sz w:val="28"/>
          <w:szCs w:val="28"/>
        </w:rPr>
      </w:pPr>
    </w:p>
    <w:p>
      <w:pPr>
        <w:widowControl w:val="0"/>
        <w:adjustRightInd w:val="0"/>
        <w:snapToGrid w:val="0"/>
        <w:spacing w:line="560" w:lineRule="exact"/>
        <w:ind w:right="300"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中国太平洋财产保险股份有限公司</w:t>
      </w:r>
    </w:p>
    <w:p>
      <w:pPr>
        <w:widowControl w:val="0"/>
        <w:adjustRightInd w:val="0"/>
        <w:snapToGrid w:val="0"/>
        <w:spacing w:line="560" w:lineRule="exact"/>
        <w:ind w:right="640"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攀枝花中心支公司</w:t>
      </w:r>
    </w:p>
    <w:p>
      <w:pPr>
        <w:widowControl w:val="0"/>
        <w:adjustRightInd w:val="0"/>
        <w:snapToGrid w:val="0"/>
        <w:spacing w:line="560" w:lineRule="exact"/>
        <w:ind w:right="640"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2020年2月25日</w:t>
      </w:r>
    </w:p>
    <w:sectPr>
      <w:headerReference w:type="default" r:id="rId2"/>
      <w:footerReference w:type="default" r:id="rId3"/>
      <w:pgSz w:w="11907" w:h="16840"/>
      <w:pgMar w:top="2098" w:right="1474" w:bottom="1985" w:left="1588" w:header="567" w:footer="1134" w:gutter="0"/>
      <w:docGrid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方正兰亭黑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variable"/>
    <w:sig w:usb0="00000001" w:usb1="080E0000" w:usb2="00000010" w:usb3="00000000" w:csb0="00040000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DejaVu San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xi San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微软雅黑">
    <w:altName w:val="方正兰亭黑_GBK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7"/>
      <w:tabs>
        <w:tab w:val="center" w:pos="4153"/>
        <w:tab w:val="right" w:pos="8306"/>
      </w:tabs>
      <w:jc w:val="center"/>
      <w:rPr>
        <w:rFonts w:ascii="仿宋_GB2312" w:eastAsia="仿宋_GB2312"/>
        <w:sz w:val="30"/>
      </w:rPr>
    </w:pPr>
    <w:r>
      <w:rPr>
        <w:rFonts w:ascii="仿宋_GB2312" w:eastAsia="仿宋_GB2312" w:hint="eastAsia"/>
        <w:color w:val="000000"/>
        <w:sz w:val="30"/>
      </w:rPr>
      <w:t>－</w:t>
    </w:r>
    <w:r>
      <w:rPr>
        <w:rStyle w:val="18"/>
        <w:rFonts w:ascii="仿宋_GB2312" w:eastAsia="仿宋_GB2312"/>
        <w:sz w:val="30"/>
      </w:rPr>
      <w:fldChar w:fldCharType="begin"/>
    </w:r>
    <w:r>
      <w:rPr>
        <w:rStyle w:val="18"/>
        <w:rFonts w:ascii="仿宋_GB2312" w:eastAsia="仿宋_GB2312"/>
        <w:sz w:val="30"/>
      </w:rPr>
      <w:instrText xml:space="preserve"> PAGE </w:instrText>
    </w:r>
    <w:r>
      <w:rPr>
        <w:rStyle w:val="18"/>
        <w:rFonts w:ascii="仿宋_GB2312" w:eastAsia="仿宋_GB2312"/>
        <w:sz w:val="30"/>
      </w:rPr>
      <w:fldChar w:fldCharType="separate"/>
    </w:r>
    <w:r>
      <w:rPr>
        <w:rStyle w:val="18"/>
        <w:rFonts w:ascii="仿宋_GB2312" w:eastAsia="仿宋_GB2312"/>
        <w:sz w:val="30"/>
      </w:rPr>
      <w:t>4</w:t>
    </w:r>
    <w:r>
      <w:rPr>
        <w:rStyle w:val="18"/>
        <w:rFonts w:ascii="仿宋_GB2312" w:eastAsia="仿宋_GB2312"/>
        <w:sz w:val="30"/>
      </w:rPr>
      <w:fldChar w:fldCharType="end"/>
    </w:r>
    <w:r>
      <w:rPr>
        <w:rFonts w:ascii="仿宋_GB2312" w:eastAsia="仿宋_GB2312" w:hint="eastAsia"/>
        <w:color w:val="000000"/>
        <w:sz w:val="30"/>
      </w:rPr>
      <w:t>－</w:t>
    </w: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6"/>
      <w:pBdr>
        <w:bottom w:val="none" w:sz="0" w:space="0" w:color="auto"/>
      </w:pBdr>
      <w:tabs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overflowPunct w:val="0"/>
      <w:autoSpaceDE w:val="0"/>
      <w:autoSpaceDN w:val="0"/>
      <w:adjustRightInd w:val="0"/>
      <w:spacing w:line="240" w:lineRule="auto"/>
      <w:ind w:firstLine="0"/>
      <w:textAlignment w:val="baseline"/>
    </w:pPr>
    <w:rPr>
      <w:rFonts w:ascii="Times New Roman" w:eastAsia="宋体" w:cs="Times New Roman" w:hAnsi="Times New Roman"/>
      <w:kern w:val="0"/>
      <w:sz w:val="20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pPr>
      <w:widowControl w:val="0"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rFonts w:ascii="Calibri" w:eastAsia="宋体" w:cs="Arial" w:hAnsi="Calibri"/>
      <w:kern w:val="2"/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jc w:val="center"/>
    </w:pPr>
    <w:rPr>
      <w:sz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adjustRightInd w:val="0"/>
      <w:snapToGrid w:val="0"/>
    </w:pPr>
    <w:rPr>
      <w:sz w:val="18"/>
    </w:rPr>
  </w:style>
  <w:style w:type="character" w:styleId="18">
    <w:name w:val="page number"/>
    <w:basedOn w:val="10"/>
  </w:style>
  <w:style w:type="paragraph" w:styleId="19">
    <w:name w:val="Normal (Web)"/>
    <w:basedOn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cs="宋体"/>
      <w:sz w:val="24"/>
      <w:szCs w:val="24"/>
    </w:rPr>
  </w:style>
  <w:style w:type="paragraph" w:styleId="20">
    <w:name w:val="List Paragraph"/>
    <w:basedOn w:val="0"/>
    <w:pPr>
      <w:ind w:firstLineChars="200" w:firstLine="200"/>
    </w:pPr>
  </w:style>
  <w:style w:type="paragraph" w:customStyle="1" w:styleId="21">
    <w:name w:val="Default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微软雅黑" w:eastAsia="微软雅黑" w:cs="微软雅黑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394</TotalTime>
  <Application>Yozo_Office27021597764231179</Application>
  <Pages>6</Pages>
  <Words>1914</Words>
  <Characters>1991</Characters>
  <Lines>184</Lines>
  <Paragraphs>137</Paragraphs>
  <CharactersWithSpaces>2077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张建</dc:creator>
  <cp:lastModifiedBy>user</cp:lastModifiedBy>
  <cp:revision>40</cp:revision>
  <cp:lastPrinted>2020-02-19T02:46:00Z</cp:lastPrinted>
  <dcterms:created xsi:type="dcterms:W3CDTF">2020-02-25T03:18:00Z</dcterms:created>
  <dcterms:modified xsi:type="dcterms:W3CDTF">2022-09-02T07:03:11Z</dcterms:modified>
</cp:coreProperties>
</file>